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840" w14:textId="77777777" w:rsidR="003000CE" w:rsidRPr="00702C54" w:rsidRDefault="003000CE" w:rsidP="009B27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02C54">
        <w:rPr>
          <w:b/>
          <w:sz w:val="28"/>
          <w:szCs w:val="28"/>
        </w:rPr>
        <w:t xml:space="preserve">Darstellung des Anreizeffektes für </w:t>
      </w:r>
      <w:r w:rsidRPr="00702C54">
        <w:rPr>
          <w:b/>
          <w:w w:val="102"/>
          <w:sz w:val="28"/>
          <w:szCs w:val="28"/>
        </w:rPr>
        <w:t>Großunternehmen</w:t>
      </w:r>
    </w:p>
    <w:p w14:paraId="5863EED3" w14:textId="77777777" w:rsidR="003000CE" w:rsidRPr="009648E1" w:rsidRDefault="003000CE" w:rsidP="00C709B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CCDEAC0" w14:textId="77777777" w:rsidR="003000CE" w:rsidRPr="00560FF9" w:rsidRDefault="003000CE" w:rsidP="005F0788">
      <w:pPr>
        <w:widowControl w:val="0"/>
        <w:autoSpaceDE w:val="0"/>
        <w:autoSpaceDN w:val="0"/>
        <w:adjustRightInd w:val="0"/>
        <w:spacing w:after="0" w:line="249" w:lineRule="auto"/>
        <w:ind w:right="61" w:firstLine="7"/>
        <w:jc w:val="both"/>
      </w:pPr>
      <w:r w:rsidRPr="00560FF9">
        <w:t>Staatliche</w:t>
      </w:r>
      <w:r w:rsidRPr="00560FF9">
        <w:rPr>
          <w:spacing w:val="52"/>
        </w:rPr>
        <w:t xml:space="preserve"> </w:t>
      </w:r>
      <w:r w:rsidRPr="00560FF9">
        <w:t>FuEuI-Beihilfen</w:t>
      </w:r>
      <w:r w:rsidRPr="00560FF9">
        <w:rPr>
          <w:spacing w:val="22"/>
        </w:rPr>
        <w:t xml:space="preserve"> </w:t>
      </w:r>
      <w:r w:rsidRPr="00560FF9">
        <w:t>müssen</w:t>
      </w:r>
      <w:r w:rsidRPr="00560FF9">
        <w:rPr>
          <w:spacing w:val="35"/>
        </w:rPr>
        <w:t xml:space="preserve"> </w:t>
      </w:r>
      <w:r w:rsidRPr="00560FF9">
        <w:t>einen</w:t>
      </w:r>
      <w:r w:rsidRPr="00560FF9">
        <w:rPr>
          <w:spacing w:val="37"/>
        </w:rPr>
        <w:t xml:space="preserve"> </w:t>
      </w:r>
      <w:r w:rsidRPr="00560FF9">
        <w:t>Anreizeffekt</w:t>
      </w:r>
      <w:r w:rsidRPr="00560FF9">
        <w:rPr>
          <w:spacing w:val="48"/>
        </w:rPr>
        <w:t xml:space="preserve"> </w:t>
      </w:r>
      <w:r w:rsidRPr="00560FF9">
        <w:t>aufweisen,</w:t>
      </w:r>
      <w:r w:rsidRPr="00560FF9">
        <w:rPr>
          <w:spacing w:val="31"/>
        </w:rPr>
        <w:t xml:space="preserve"> </w:t>
      </w:r>
      <w:r w:rsidRPr="00560FF9">
        <w:t>d. h.</w:t>
      </w:r>
      <w:r w:rsidRPr="00560FF9">
        <w:rPr>
          <w:spacing w:val="19"/>
        </w:rPr>
        <w:t xml:space="preserve"> </w:t>
      </w:r>
      <w:r w:rsidRPr="00560FF9">
        <w:t>das</w:t>
      </w:r>
      <w:r w:rsidRPr="00560FF9">
        <w:rPr>
          <w:spacing w:val="33"/>
        </w:rPr>
        <w:t xml:space="preserve"> </w:t>
      </w:r>
      <w:r w:rsidRPr="00560FF9">
        <w:t>Verhalten</w:t>
      </w:r>
      <w:r w:rsidRPr="00560FF9">
        <w:rPr>
          <w:spacing w:val="6"/>
        </w:rPr>
        <w:t xml:space="preserve"> </w:t>
      </w:r>
      <w:r w:rsidRPr="00560FF9">
        <w:rPr>
          <w:w w:val="103"/>
        </w:rPr>
        <w:t xml:space="preserve">des </w:t>
      </w:r>
      <w:r w:rsidRPr="00560FF9">
        <w:t>begün</w:t>
      </w:r>
      <w:r w:rsidRPr="00560FF9">
        <w:t>s</w:t>
      </w:r>
      <w:r w:rsidRPr="00560FF9">
        <w:t>tigten</w:t>
      </w:r>
      <w:r w:rsidRPr="00560FF9">
        <w:rPr>
          <w:spacing w:val="28"/>
        </w:rPr>
        <w:t xml:space="preserve"> </w:t>
      </w:r>
      <w:r w:rsidRPr="00560FF9">
        <w:t>Unternehmens dahingehend ändern, dass</w:t>
      </w:r>
      <w:r w:rsidRPr="00560FF9">
        <w:rPr>
          <w:spacing w:val="32"/>
        </w:rPr>
        <w:t xml:space="preserve"> </w:t>
      </w:r>
      <w:r w:rsidRPr="00560FF9">
        <w:t>es</w:t>
      </w:r>
      <w:r w:rsidRPr="00560FF9">
        <w:rPr>
          <w:spacing w:val="26"/>
        </w:rPr>
        <w:t xml:space="preserve"> </w:t>
      </w:r>
      <w:r w:rsidRPr="00560FF9">
        <w:t>zu verstärkter</w:t>
      </w:r>
      <w:r w:rsidRPr="00560FF9">
        <w:rPr>
          <w:spacing w:val="13"/>
        </w:rPr>
        <w:t xml:space="preserve"> </w:t>
      </w:r>
      <w:r w:rsidRPr="00560FF9">
        <w:t>FuEuI</w:t>
      </w:r>
      <w:r w:rsidRPr="00560FF9">
        <w:rPr>
          <w:spacing w:val="-3"/>
        </w:rPr>
        <w:t>-</w:t>
      </w:r>
      <w:r w:rsidRPr="00560FF9">
        <w:t>Tätigkeit veranlasst</w:t>
      </w:r>
      <w:r w:rsidRPr="00560FF9">
        <w:rPr>
          <w:spacing w:val="39"/>
        </w:rPr>
        <w:t xml:space="preserve"> </w:t>
      </w:r>
      <w:r w:rsidRPr="00560FF9">
        <w:t>wird.</w:t>
      </w:r>
      <w:r w:rsidRPr="00560FF9">
        <w:rPr>
          <w:spacing w:val="21"/>
        </w:rPr>
        <w:t xml:space="preserve"> </w:t>
      </w:r>
      <w:r w:rsidRPr="00560FF9">
        <w:t>Daher</w:t>
      </w:r>
      <w:r w:rsidRPr="00560FF9">
        <w:rPr>
          <w:spacing w:val="33"/>
        </w:rPr>
        <w:t xml:space="preserve"> </w:t>
      </w:r>
      <w:r w:rsidRPr="00560FF9">
        <w:t>verlangt</w:t>
      </w:r>
      <w:r w:rsidRPr="00560FF9">
        <w:rPr>
          <w:spacing w:val="30"/>
        </w:rPr>
        <w:t xml:space="preserve"> </w:t>
      </w:r>
      <w:r w:rsidRPr="00560FF9">
        <w:t>die</w:t>
      </w:r>
      <w:r w:rsidRPr="00560FF9">
        <w:rPr>
          <w:spacing w:val="27"/>
        </w:rPr>
        <w:t xml:space="preserve"> </w:t>
      </w:r>
      <w:r w:rsidRPr="00560FF9">
        <w:t>EU-Kommission, dass</w:t>
      </w:r>
      <w:r w:rsidRPr="00560FF9">
        <w:rPr>
          <w:spacing w:val="24"/>
        </w:rPr>
        <w:t xml:space="preserve"> </w:t>
      </w:r>
      <w:r w:rsidRPr="00560FF9">
        <w:t>der Anreizeffekt, insbesondere für Großunternehmen, geprüft und nachgewiesen wird. Als Großunternehmen gelten alle die Unternehmen, die kein KMU im Sinn der KMU-Definition</w:t>
      </w:r>
      <w:r w:rsidRPr="00560FF9">
        <w:footnoteReference w:id="1"/>
      </w:r>
      <w:r w:rsidRPr="00560FF9">
        <w:t xml:space="preserve"> der EU-KOM sind.</w:t>
      </w:r>
    </w:p>
    <w:p w14:paraId="52B36FE9" w14:textId="77777777" w:rsidR="003000CE" w:rsidRDefault="003000CE" w:rsidP="005F0788">
      <w:pPr>
        <w:widowControl w:val="0"/>
        <w:autoSpaceDE w:val="0"/>
        <w:autoSpaceDN w:val="0"/>
        <w:adjustRightInd w:val="0"/>
        <w:spacing w:after="0" w:line="249" w:lineRule="auto"/>
        <w:ind w:right="61" w:firstLine="7"/>
        <w:jc w:val="both"/>
        <w:rPr>
          <w:w w:val="105"/>
        </w:rPr>
      </w:pPr>
    </w:p>
    <w:p w14:paraId="48D92545" w14:textId="77777777" w:rsidR="003000CE" w:rsidRPr="009648E1" w:rsidRDefault="003000CE" w:rsidP="005F0788">
      <w:pPr>
        <w:widowControl w:val="0"/>
        <w:autoSpaceDE w:val="0"/>
        <w:autoSpaceDN w:val="0"/>
        <w:adjustRightInd w:val="0"/>
        <w:spacing w:after="0" w:line="249" w:lineRule="auto"/>
        <w:ind w:right="61" w:firstLine="7"/>
        <w:jc w:val="both"/>
        <w:rPr>
          <w:rFonts w:cs="Arial"/>
          <w:b/>
          <w:bCs/>
        </w:rPr>
      </w:pPr>
    </w:p>
    <w:p w14:paraId="4D77A9EC" w14:textId="77777777" w:rsidR="003000CE" w:rsidRPr="009648E1" w:rsidRDefault="003000CE" w:rsidP="00E35A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648E1">
        <w:rPr>
          <w:rFonts w:cs="Arial"/>
        </w:rPr>
        <w:t>Antragsteller</w:t>
      </w:r>
    </w:p>
    <w:bookmarkStart w:id="0" w:name="Text13"/>
    <w:p w14:paraId="02BEA51F" w14:textId="77777777" w:rsidR="003000CE" w:rsidRPr="009648E1" w:rsidRDefault="003000CE" w:rsidP="00E35A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14:paraId="66D13654" w14:textId="77777777" w:rsidR="003000CE" w:rsidRPr="009648E1" w:rsidRDefault="003000CE" w:rsidP="00E35A8B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14:paraId="031E2AD5" w14:textId="77777777" w:rsidR="003000CE" w:rsidRPr="009648E1" w:rsidRDefault="003000CE" w:rsidP="00E35A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648E1">
        <w:rPr>
          <w:rFonts w:cs="Arial"/>
        </w:rPr>
        <w:t>Bezeichnung des Vorhabens / Förderkennzeichen</w:t>
      </w:r>
    </w:p>
    <w:bookmarkStart w:id="1" w:name="Text14"/>
    <w:p w14:paraId="375DF097" w14:textId="77777777" w:rsidR="003000CE" w:rsidRPr="009648E1" w:rsidRDefault="003000CE" w:rsidP="00E35A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29E3A813" w14:textId="77777777" w:rsidR="003000CE" w:rsidRPr="009648E1" w:rsidRDefault="003000CE" w:rsidP="00C709B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1DB3BBDE" w14:textId="77777777" w:rsidR="003000CE" w:rsidRPr="002629CA" w:rsidRDefault="003000CE" w:rsidP="00C709B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Bemerkung</w:t>
      </w:r>
    </w:p>
    <w:p w14:paraId="133AFAC2" w14:textId="77777777" w:rsidR="003000CE" w:rsidRPr="009563A2" w:rsidRDefault="003000CE" w:rsidP="00EA54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  <w:i/>
        </w:rPr>
        <w:t xml:space="preserve">Um den </w:t>
      </w:r>
      <w:r w:rsidRPr="00EA547D">
        <w:rPr>
          <w:rFonts w:cs="Arial"/>
          <w:bCs/>
          <w:i/>
        </w:rPr>
        <w:t>nach EU-Recht vorgeschriebenen Anreizeffekt für Großunternehmen</w:t>
      </w:r>
      <w:r>
        <w:rPr>
          <w:rFonts w:cs="Arial"/>
          <w:bCs/>
          <w:i/>
        </w:rPr>
        <w:t xml:space="preserve"> nachzuweisen, muss  </w:t>
      </w:r>
      <w:r w:rsidRPr="006B7374">
        <w:rPr>
          <w:rFonts w:cs="Arial"/>
          <w:bCs/>
          <w:i/>
          <w:u w:val="single"/>
        </w:rPr>
        <w:t>mindestens eines</w:t>
      </w:r>
      <w:r>
        <w:rPr>
          <w:rFonts w:cs="Arial"/>
          <w:bCs/>
          <w:i/>
        </w:rPr>
        <w:t xml:space="preserve"> der nachfolgend aufgeführten Kriterien erfüllt werden.</w:t>
      </w:r>
      <w:r w:rsidRPr="00EA547D">
        <w:rPr>
          <w:rFonts w:cs="Arial"/>
          <w:bCs/>
          <w:i/>
        </w:rPr>
        <w:t xml:space="preserve"> </w:t>
      </w:r>
      <w:r>
        <w:rPr>
          <w:rFonts w:cs="Arial"/>
          <w:bCs/>
          <w:i/>
        </w:rPr>
        <w:t>Das alleinige Ankreuzen der Erklärungen</w:t>
      </w:r>
      <w:r w:rsidRPr="00EA547D">
        <w:rPr>
          <w:rFonts w:cs="Arial"/>
          <w:bCs/>
          <w:i/>
        </w:rPr>
        <w:t xml:space="preserve"> wird </w:t>
      </w:r>
      <w:r w:rsidRPr="00880064">
        <w:rPr>
          <w:rFonts w:cs="Arial"/>
          <w:bCs/>
          <w:i/>
        </w:rPr>
        <w:t>als nicht ausreichend</w:t>
      </w:r>
      <w:r w:rsidRPr="00EA547D">
        <w:rPr>
          <w:rFonts w:cs="Arial"/>
          <w:bCs/>
          <w:i/>
        </w:rPr>
        <w:t xml:space="preserve"> erachtet.</w:t>
      </w:r>
      <w:r>
        <w:rPr>
          <w:rFonts w:cs="Arial"/>
          <w:bCs/>
          <w:i/>
        </w:rPr>
        <w:t xml:space="preserve"> Die ergänzenden Erläuterungen sind zwingend no</w:t>
      </w:r>
      <w:r>
        <w:rPr>
          <w:rFonts w:cs="Arial"/>
          <w:bCs/>
          <w:i/>
        </w:rPr>
        <w:t>t</w:t>
      </w:r>
      <w:r>
        <w:rPr>
          <w:rFonts w:cs="Arial"/>
          <w:bCs/>
          <w:i/>
        </w:rPr>
        <w:t xml:space="preserve">wendig. </w:t>
      </w:r>
      <w:r>
        <w:rPr>
          <w:rFonts w:cs="Arial"/>
          <w:bCs/>
        </w:rPr>
        <w:t>Sofern zur Nachvollziehbarkeit der kontrafaktischen Situation umfangreichere Erläuterungen notwendig sein sollten, wird darum gebeten, Anlagen beizufügen. Die Angaben müssen für die beihi</w:t>
      </w:r>
      <w:r>
        <w:rPr>
          <w:rFonts w:cs="Arial"/>
          <w:bCs/>
        </w:rPr>
        <w:t>l</w:t>
      </w:r>
      <w:r>
        <w:rPr>
          <w:rFonts w:cs="Arial"/>
          <w:bCs/>
        </w:rPr>
        <w:t xml:space="preserve">fegewährende Stelle plausibel und nachvollziehbar sein, um den Anforderungen der Kommission zu genügen. </w:t>
      </w:r>
    </w:p>
    <w:p w14:paraId="58B2A66A" w14:textId="77777777" w:rsidR="003000CE" w:rsidRDefault="003000CE" w:rsidP="00EA54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8A7045A" w14:textId="77777777" w:rsidR="003000CE" w:rsidRPr="002629CA" w:rsidRDefault="003000CE" w:rsidP="00EA547D">
      <w:pPr>
        <w:pStyle w:val="ListParagraph"/>
        <w:widowControl w:val="0"/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before="10" w:after="0" w:line="240" w:lineRule="auto"/>
        <w:ind w:left="357" w:hanging="357"/>
        <w:rPr>
          <w:b/>
          <w:w w:val="111"/>
        </w:rPr>
      </w:pPr>
      <w:r w:rsidRPr="002629CA">
        <w:rPr>
          <w:b/>
          <w:w w:val="111"/>
        </w:rPr>
        <w:t>Erhöhung des Projektumfangs (Bitte Zutreffendes ankreuzen</w:t>
      </w:r>
      <w:r>
        <w:rPr>
          <w:b/>
          <w:w w:val="111"/>
        </w:rPr>
        <w:t xml:space="preserve"> und erläutern</w:t>
      </w:r>
      <w:r w:rsidRPr="002629CA">
        <w:rPr>
          <w:b/>
          <w:w w:val="111"/>
        </w:rPr>
        <w:t>)</w:t>
      </w:r>
    </w:p>
    <w:p w14:paraId="1A5ED45A" w14:textId="77777777" w:rsidR="003000CE" w:rsidRDefault="003000CE" w:rsidP="002629CA">
      <w:pPr>
        <w:tabs>
          <w:tab w:val="left" w:pos="426"/>
        </w:tabs>
        <w:autoSpaceDE w:val="0"/>
        <w:autoSpaceDN w:val="0"/>
        <w:adjustRightInd w:val="0"/>
        <w:spacing w:after="0" w:line="240" w:lineRule="auto"/>
      </w:pPr>
    </w:p>
    <w:p w14:paraId="43054A80" w14:textId="77777777" w:rsidR="003000CE" w:rsidRPr="009648E1" w:rsidRDefault="003000CE" w:rsidP="00147E7F">
      <w:pPr>
        <w:widowControl w:val="0"/>
        <w:autoSpaceDE w:val="0"/>
        <w:autoSpaceDN w:val="0"/>
        <w:adjustRightInd w:val="0"/>
        <w:spacing w:after="0" w:line="391" w:lineRule="auto"/>
        <w:ind w:right="2625"/>
      </w:pPr>
      <w:r>
        <w:t>Im Vergleich zur Planung ohne Zuwendung</w:t>
      </w:r>
    </w:p>
    <w:bookmarkStart w:id="2" w:name="Kontrollkästchen1"/>
    <w:p w14:paraId="3D07E71E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</w:r>
      <w:r w:rsidRPr="009648E1">
        <w:rPr>
          <w:rFonts w:cs="Arial"/>
        </w:rPr>
        <w:t>werden die Gesamtaufwendungen für das Vorhaben erhöht.</w:t>
      </w:r>
    </w:p>
    <w:bookmarkStart w:id="3" w:name="Kontrollkästchen2"/>
    <w:p w14:paraId="733A42D6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3"/>
      <w:r>
        <w:rPr>
          <w:rFonts w:cs="Arial"/>
        </w:rPr>
        <w:tab/>
      </w:r>
      <w:r w:rsidRPr="009648E1">
        <w:rPr>
          <w:rFonts w:cs="Arial"/>
        </w:rPr>
        <w:t>wird die Anzahl der in Forschung, Entwicklung und Innovation tätigen Mitarbeiter e</w:t>
      </w:r>
      <w:r w:rsidRPr="009648E1">
        <w:rPr>
          <w:rFonts w:cs="Arial"/>
        </w:rPr>
        <w:t>r</w:t>
      </w:r>
      <w:r w:rsidRPr="009648E1">
        <w:rPr>
          <w:rFonts w:cs="Arial"/>
        </w:rPr>
        <w:t>höht</w:t>
      </w:r>
      <w:r>
        <w:rPr>
          <w:rFonts w:cs="Arial"/>
        </w:rPr>
        <w:t>.</w:t>
      </w:r>
    </w:p>
    <w:p w14:paraId="1D22FCE3" w14:textId="77777777" w:rsidR="003000CE" w:rsidRDefault="003000CE" w:rsidP="0013154D">
      <w:pPr>
        <w:autoSpaceDE w:val="0"/>
        <w:autoSpaceDN w:val="0"/>
        <w:adjustRightInd w:val="0"/>
        <w:spacing w:after="120" w:line="240" w:lineRule="auto"/>
        <w:ind w:right="567"/>
        <w:rPr>
          <w:rFonts w:cs="Arial"/>
        </w:rPr>
      </w:pPr>
      <w:r>
        <w:rPr>
          <w:rFonts w:cs="Arial"/>
        </w:rPr>
        <w:t>Jeweils Erläuterung der kontrafaktischen Situation:</w:t>
      </w:r>
    </w:p>
    <w:p w14:paraId="624C4EBA" w14:textId="77777777" w:rsidR="003000CE" w:rsidRDefault="003000CE" w:rsidP="0013154D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t>ohne Zuwendung: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mit Zuwendung:</w:t>
      </w:r>
    </w:p>
    <w:p w14:paraId="2475339A" w14:textId="77777777" w:rsidR="003000CE" w:rsidRPr="009648E1" w:rsidRDefault="003000CE" w:rsidP="0013154D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F49625A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p w14:paraId="7D4EF481" w14:textId="77777777" w:rsidR="003000CE" w:rsidRPr="002629CA" w:rsidRDefault="003000CE" w:rsidP="002629CA">
      <w:pPr>
        <w:pStyle w:val="ListParagraph"/>
        <w:widowControl w:val="0"/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before="10" w:after="0" w:line="240" w:lineRule="auto"/>
        <w:ind w:left="357" w:hanging="357"/>
        <w:rPr>
          <w:b/>
          <w:w w:val="111"/>
        </w:rPr>
      </w:pPr>
      <w:r w:rsidRPr="002629CA">
        <w:rPr>
          <w:b/>
          <w:w w:val="111"/>
        </w:rPr>
        <w:t>Erhöhung der Projektreichweite (Bitte Zutreffendes ankreuzen und erläutern)</w:t>
      </w:r>
    </w:p>
    <w:p w14:paraId="5906E296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p w14:paraId="782F79B8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w w:val="109"/>
        </w:rPr>
      </w:pPr>
      <w:r w:rsidRPr="009648E1">
        <w:t>Es</w:t>
      </w:r>
      <w:r w:rsidRPr="009648E1">
        <w:rPr>
          <w:spacing w:val="23"/>
        </w:rPr>
        <w:t xml:space="preserve"> </w:t>
      </w:r>
      <w:r w:rsidRPr="009648E1">
        <w:rPr>
          <w:w w:val="114"/>
        </w:rPr>
        <w:t xml:space="preserve">wird </w:t>
      </w:r>
      <w:r w:rsidRPr="009648E1">
        <w:rPr>
          <w:rFonts w:cs="Arial"/>
        </w:rPr>
        <w:t>erwartet</w:t>
      </w:r>
      <w:r w:rsidRPr="009648E1">
        <w:rPr>
          <w:w w:val="114"/>
        </w:rPr>
        <w:t>,</w:t>
      </w:r>
      <w:r w:rsidRPr="009648E1">
        <w:rPr>
          <w:spacing w:val="-11"/>
          <w:w w:val="114"/>
        </w:rPr>
        <w:t xml:space="preserve"> </w:t>
      </w:r>
      <w:r w:rsidRPr="009648E1">
        <w:rPr>
          <w:rFonts w:cs="Arial"/>
        </w:rPr>
        <w:t>dass</w:t>
      </w:r>
      <w:r>
        <w:rPr>
          <w:rFonts w:cs="Arial"/>
        </w:rPr>
        <w:t xml:space="preserve"> im Vergleich zur Planung ohne </w:t>
      </w:r>
      <w:r w:rsidRPr="009648E1">
        <w:rPr>
          <w:w w:val="109"/>
        </w:rPr>
        <w:t>Zuwendung</w:t>
      </w:r>
    </w:p>
    <w:bookmarkStart w:id="4" w:name="Kontrollkästchen3"/>
    <w:p w14:paraId="505D70E4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</w:r>
      <w:r w:rsidRPr="009648E1">
        <w:rPr>
          <w:rFonts w:cs="Arial"/>
        </w:rPr>
        <w:t xml:space="preserve">umfangreichere Projektergebnisse erreicht werden. </w:t>
      </w:r>
    </w:p>
    <w:bookmarkStart w:id="5" w:name="Kontrollkästchen4"/>
    <w:p w14:paraId="2BC0CE25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5"/>
      <w:r>
        <w:rPr>
          <w:rFonts w:cs="Arial"/>
        </w:rPr>
        <w:tab/>
      </w:r>
      <w:r w:rsidRPr="009648E1">
        <w:rPr>
          <w:rFonts w:cs="Arial"/>
        </w:rPr>
        <w:t xml:space="preserve">erweiterte Projektziele erreicht werden. </w:t>
      </w:r>
    </w:p>
    <w:bookmarkStart w:id="6" w:name="Kontrollkästchen5"/>
    <w:p w14:paraId="1EB129D3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6"/>
      <w:r>
        <w:rPr>
          <w:rFonts w:cs="Arial"/>
        </w:rPr>
        <w:tab/>
      </w:r>
      <w:r w:rsidRPr="009648E1">
        <w:rPr>
          <w:rFonts w:cs="Arial"/>
        </w:rPr>
        <w:t xml:space="preserve"> eine höhere Qualität der Projektergebnisse erzielt wird. </w:t>
      </w:r>
    </w:p>
    <w:bookmarkStart w:id="7" w:name="Kontrollkästchen6"/>
    <w:p w14:paraId="0D9E48F7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</w:r>
      <w:r w:rsidRPr="009648E1">
        <w:rPr>
          <w:rFonts w:cs="Arial"/>
        </w:rPr>
        <w:t xml:space="preserve">die Projektrisiken minimiert werden. </w:t>
      </w:r>
    </w:p>
    <w:bookmarkStart w:id="8" w:name="Kontrollkästchen7"/>
    <w:p w14:paraId="0C61DFE2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8"/>
      <w:r>
        <w:rPr>
          <w:rFonts w:cs="Arial"/>
        </w:rPr>
        <w:tab/>
      </w:r>
      <w:r w:rsidRPr="009648E1">
        <w:rPr>
          <w:rFonts w:cs="Arial"/>
        </w:rPr>
        <w:t xml:space="preserve">ein wissenschaftlicher oder technologischer Durchbruch erreicht wird. </w:t>
      </w:r>
    </w:p>
    <w:p w14:paraId="21D6A4C4" w14:textId="77777777" w:rsidR="003000CE" w:rsidRDefault="003000CE" w:rsidP="0013154D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bookmarkStart w:id="9" w:name="Text9"/>
    </w:p>
    <w:p w14:paraId="427BA781" w14:textId="77777777" w:rsidR="003000CE" w:rsidRDefault="003000CE" w:rsidP="008F65E8">
      <w:pPr>
        <w:autoSpaceDE w:val="0"/>
        <w:autoSpaceDN w:val="0"/>
        <w:adjustRightInd w:val="0"/>
        <w:spacing w:after="120" w:line="240" w:lineRule="auto"/>
        <w:ind w:right="567"/>
        <w:rPr>
          <w:rFonts w:cs="Arial"/>
        </w:rPr>
      </w:pPr>
      <w:r>
        <w:rPr>
          <w:rFonts w:cs="Arial"/>
        </w:rPr>
        <w:lastRenderedPageBreak/>
        <w:t xml:space="preserve">Jeweils Erläuterung der </w:t>
      </w:r>
      <w:bookmarkStart w:id="10" w:name="OLE_LINK1"/>
      <w:bookmarkStart w:id="11" w:name="OLE_LINK2"/>
      <w:r>
        <w:rPr>
          <w:rFonts w:cs="Arial"/>
        </w:rPr>
        <w:t xml:space="preserve">kontrafaktischen </w:t>
      </w:r>
      <w:bookmarkEnd w:id="10"/>
      <w:bookmarkEnd w:id="11"/>
      <w:r>
        <w:rPr>
          <w:rFonts w:cs="Arial"/>
        </w:rPr>
        <w:t>Situation:</w:t>
      </w:r>
    </w:p>
    <w:p w14:paraId="1CD5D176" w14:textId="77777777" w:rsidR="003000CE" w:rsidRDefault="003000CE" w:rsidP="008F65E8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t>ohne Zuwendung: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mit Zuwendung:</w:t>
      </w:r>
    </w:p>
    <w:p w14:paraId="51D16E4A" w14:textId="77777777" w:rsidR="003000CE" w:rsidRPr="009648E1" w:rsidRDefault="003000CE" w:rsidP="008F65E8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bookmarkEnd w:id="9"/>
    <w:p w14:paraId="6A80DF3A" w14:textId="77777777" w:rsidR="003000CE" w:rsidRPr="009648E1" w:rsidRDefault="003000CE" w:rsidP="00DF3754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</w:p>
    <w:p w14:paraId="6D00A5CF" w14:textId="77777777" w:rsidR="003000CE" w:rsidRPr="002629CA" w:rsidRDefault="003000CE" w:rsidP="002629CA">
      <w:pPr>
        <w:pStyle w:val="ListParagraph"/>
        <w:widowControl w:val="0"/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before="10" w:after="0" w:line="240" w:lineRule="auto"/>
        <w:ind w:left="357" w:hanging="357"/>
        <w:rPr>
          <w:b/>
          <w:w w:val="111"/>
        </w:rPr>
      </w:pPr>
      <w:r w:rsidRPr="002629CA">
        <w:rPr>
          <w:b/>
          <w:w w:val="111"/>
        </w:rPr>
        <w:t>Beschleunigung des Vorhabens (Bitte Zutreffendes ankreuzen</w:t>
      </w:r>
      <w:r>
        <w:rPr>
          <w:b/>
          <w:w w:val="111"/>
        </w:rPr>
        <w:t xml:space="preserve"> und erläutern</w:t>
      </w:r>
      <w:r w:rsidRPr="002629CA">
        <w:rPr>
          <w:b/>
          <w:w w:val="111"/>
        </w:rPr>
        <w:t>)</w:t>
      </w:r>
    </w:p>
    <w:p w14:paraId="4CE5EC10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bookmarkStart w:id="12" w:name="Kontrollkästchen8"/>
    <w:p w14:paraId="2B9DF103" w14:textId="77777777" w:rsidR="003000CE" w:rsidRDefault="003000CE" w:rsidP="0013154D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12"/>
      <w:r>
        <w:rPr>
          <w:rFonts w:cs="Arial"/>
        </w:rPr>
        <w:tab/>
      </w:r>
      <w:r w:rsidRPr="009648E1">
        <w:rPr>
          <w:rFonts w:cs="Arial"/>
        </w:rPr>
        <w:t xml:space="preserve">Mit der Zuwendung wird ein schnelleres Erreichen der Vorhabensziele um </w:t>
      </w:r>
      <w:bookmarkStart w:id="13" w:name="Text15"/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 w:rsidRPr="009648E1">
        <w:rPr>
          <w:rFonts w:cs="Arial"/>
        </w:rPr>
        <w:t>M</w:t>
      </w:r>
      <w:r w:rsidRPr="009648E1">
        <w:rPr>
          <w:rFonts w:cs="Arial"/>
        </w:rPr>
        <w:t>o</w:t>
      </w:r>
      <w:r w:rsidRPr="009648E1">
        <w:rPr>
          <w:rFonts w:cs="Arial"/>
        </w:rPr>
        <w:t>nate gegenüber einer Durchführung ohne Zuwendung erzielt.</w:t>
      </w:r>
    </w:p>
    <w:p w14:paraId="6533D9B4" w14:textId="77777777" w:rsidR="003000CE" w:rsidRDefault="003000CE" w:rsidP="008F65E8">
      <w:pPr>
        <w:autoSpaceDE w:val="0"/>
        <w:autoSpaceDN w:val="0"/>
        <w:adjustRightInd w:val="0"/>
        <w:spacing w:after="120" w:line="240" w:lineRule="auto"/>
        <w:ind w:right="567"/>
        <w:rPr>
          <w:rFonts w:cs="Arial"/>
        </w:rPr>
      </w:pPr>
      <w:r>
        <w:rPr>
          <w:rFonts w:cs="Arial"/>
        </w:rPr>
        <w:t>Erläuterung der kontrafaktischen Situation:</w:t>
      </w:r>
    </w:p>
    <w:p w14:paraId="1133B186" w14:textId="77777777" w:rsidR="003000CE" w:rsidRDefault="003000CE" w:rsidP="008F65E8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t>ohne Zuwendung: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mit Zuwendung:</w:t>
      </w:r>
    </w:p>
    <w:p w14:paraId="072E2113" w14:textId="77777777" w:rsidR="003000CE" w:rsidRPr="009648E1" w:rsidRDefault="003000CE" w:rsidP="008F65E8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FB77CA5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p w14:paraId="0D3575E6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p w14:paraId="56F8B59F" w14:textId="77777777" w:rsidR="003000CE" w:rsidRPr="002629CA" w:rsidRDefault="003000CE" w:rsidP="002629CA">
      <w:pPr>
        <w:pStyle w:val="ListParagraph"/>
        <w:widowControl w:val="0"/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before="10" w:after="0" w:line="240" w:lineRule="auto"/>
        <w:ind w:left="357" w:hanging="357"/>
        <w:rPr>
          <w:b/>
        </w:rPr>
      </w:pPr>
      <w:r w:rsidRPr="002629CA">
        <w:rPr>
          <w:b/>
          <w:w w:val="111"/>
        </w:rPr>
        <w:t>Aufstockung der Gesamtaufwendungen für Forschung, Entwicklung und Innovation</w:t>
      </w:r>
      <w:r w:rsidRPr="002629CA">
        <w:rPr>
          <w:b/>
          <w:w w:val="111"/>
        </w:rPr>
        <w:br/>
      </w:r>
      <w:r w:rsidRPr="002629CA">
        <w:rPr>
          <w:b/>
        </w:rPr>
        <w:t>(Bitte</w:t>
      </w:r>
      <w:r w:rsidRPr="002629CA">
        <w:rPr>
          <w:b/>
          <w:spacing w:val="33"/>
        </w:rPr>
        <w:t xml:space="preserve"> </w:t>
      </w:r>
      <w:r w:rsidRPr="002629CA">
        <w:rPr>
          <w:b/>
          <w:w w:val="107"/>
        </w:rPr>
        <w:t>Zutreffendes</w:t>
      </w:r>
      <w:r w:rsidRPr="002629CA">
        <w:rPr>
          <w:b/>
          <w:spacing w:val="-3"/>
          <w:w w:val="107"/>
        </w:rPr>
        <w:t xml:space="preserve"> </w:t>
      </w:r>
      <w:r w:rsidRPr="002629CA">
        <w:rPr>
          <w:b/>
          <w:w w:val="107"/>
        </w:rPr>
        <w:t>ankreuzen</w:t>
      </w:r>
      <w:r>
        <w:rPr>
          <w:b/>
          <w:w w:val="107"/>
        </w:rPr>
        <w:t xml:space="preserve"> und erläutern</w:t>
      </w:r>
      <w:r w:rsidRPr="002629CA">
        <w:rPr>
          <w:b/>
          <w:w w:val="108"/>
        </w:rPr>
        <w:t>)</w:t>
      </w:r>
    </w:p>
    <w:p w14:paraId="1E5C7007" w14:textId="77777777" w:rsidR="003000CE" w:rsidRDefault="003000CE" w:rsidP="00DF3754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240" w:lineRule="auto"/>
      </w:pPr>
    </w:p>
    <w:p w14:paraId="5B427929" w14:textId="77777777" w:rsidR="003000CE" w:rsidRPr="00DF3754" w:rsidRDefault="003000CE" w:rsidP="006B7374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120" w:line="240" w:lineRule="auto"/>
      </w:pPr>
      <w:r>
        <w:t>Im Vergleich zur Planung ohne Zuwendung</w:t>
      </w:r>
    </w:p>
    <w:bookmarkStart w:id="14" w:name="Kontrollkästchen9"/>
    <w:p w14:paraId="202EF1B6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14"/>
      <w:r>
        <w:rPr>
          <w:rFonts w:cs="Arial"/>
        </w:rPr>
        <w:tab/>
      </w:r>
      <w:r w:rsidRPr="009648E1">
        <w:rPr>
          <w:rFonts w:cs="Arial"/>
        </w:rPr>
        <w:t>werden die Gesamtaufwendungen für Forschung, Entwicklung und Innovation erhöht.</w:t>
      </w:r>
    </w:p>
    <w:bookmarkStart w:id="15" w:name="Kontrollkästchen10"/>
    <w:p w14:paraId="43FBA876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15"/>
      <w:r>
        <w:rPr>
          <w:rFonts w:cs="Arial"/>
        </w:rPr>
        <w:tab/>
      </w:r>
      <w:r w:rsidRPr="009648E1">
        <w:rPr>
          <w:rFonts w:cs="Arial"/>
        </w:rPr>
        <w:t>werden die Aufwendungen für Forschung,  Entwicklung und Innovation  im Verhältnis zum Gesamtumsatz erhöht.</w:t>
      </w:r>
    </w:p>
    <w:bookmarkStart w:id="16" w:name="Kontrollkästchen11"/>
    <w:p w14:paraId="287A8C70" w14:textId="77777777" w:rsidR="003000CE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46C13" w:rsidRPr="003000CE">
        <w:rPr>
          <w:rFonts w:cs="Arial"/>
        </w:rPr>
      </w:r>
      <w:r>
        <w:rPr>
          <w:rFonts w:cs="Arial"/>
        </w:rPr>
        <w:fldChar w:fldCharType="end"/>
      </w:r>
      <w:bookmarkEnd w:id="16"/>
      <w:r>
        <w:rPr>
          <w:rFonts w:cs="Arial"/>
        </w:rPr>
        <w:tab/>
      </w:r>
      <w:r w:rsidRPr="009648E1">
        <w:rPr>
          <w:rFonts w:cs="Arial"/>
        </w:rPr>
        <w:t>wird der Mitteleinsatz bei anderen FuE-Projekten nicht verringert.</w:t>
      </w:r>
    </w:p>
    <w:p w14:paraId="006A68CD" w14:textId="77777777" w:rsidR="003000CE" w:rsidRDefault="003000CE" w:rsidP="006B7374">
      <w:pPr>
        <w:autoSpaceDE w:val="0"/>
        <w:autoSpaceDN w:val="0"/>
        <w:adjustRightInd w:val="0"/>
        <w:spacing w:after="120" w:line="240" w:lineRule="auto"/>
        <w:ind w:right="567"/>
        <w:rPr>
          <w:rFonts w:cs="Arial"/>
        </w:rPr>
      </w:pPr>
      <w:r>
        <w:rPr>
          <w:rFonts w:cs="Arial"/>
        </w:rPr>
        <w:t>Jeweils Erläuterung der kontrafaktischen Situation:</w:t>
      </w:r>
    </w:p>
    <w:p w14:paraId="0D433839" w14:textId="77777777" w:rsidR="003000CE" w:rsidRDefault="003000CE" w:rsidP="006B7374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t>ohne Zuwendung: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mit Zuwendung:</w:t>
      </w:r>
    </w:p>
    <w:p w14:paraId="66D09B94" w14:textId="77777777" w:rsidR="003000CE" w:rsidRPr="009648E1" w:rsidRDefault="003000CE" w:rsidP="006B7374">
      <w:pPr>
        <w:autoSpaceDE w:val="0"/>
        <w:autoSpaceDN w:val="0"/>
        <w:adjustRightInd w:val="0"/>
        <w:spacing w:after="120" w:line="240" w:lineRule="auto"/>
        <w:ind w:left="709" w:right="567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146C13" w:rsidRPr="003000CE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6BED5CEF" w14:textId="77777777" w:rsidR="003000CE" w:rsidRPr="009648E1" w:rsidRDefault="003000CE" w:rsidP="009648E1">
      <w:pPr>
        <w:autoSpaceDE w:val="0"/>
        <w:autoSpaceDN w:val="0"/>
        <w:adjustRightInd w:val="0"/>
        <w:spacing w:after="120" w:line="240" w:lineRule="auto"/>
        <w:ind w:left="709" w:right="567" w:hanging="709"/>
        <w:rPr>
          <w:rFonts w:cs="Arial"/>
        </w:rPr>
      </w:pPr>
    </w:p>
    <w:p w14:paraId="0C132F05" w14:textId="77777777" w:rsidR="003000CE" w:rsidRDefault="003000CE" w:rsidP="00AF2BED">
      <w:pPr>
        <w:autoSpaceDE w:val="0"/>
        <w:autoSpaceDN w:val="0"/>
        <w:adjustRightInd w:val="0"/>
        <w:spacing w:before="480" w:after="480" w:line="240" w:lineRule="auto"/>
        <w:ind w:left="709" w:right="567" w:hanging="709"/>
        <w:rPr>
          <w:rFonts w:cs="Arial"/>
        </w:rPr>
      </w:pPr>
      <w:r w:rsidRPr="009648E1">
        <w:rPr>
          <w:rFonts w:cs="Arial"/>
        </w:rPr>
        <w:t>Ich/wir versichern die Richtigkeit und Vollständigkeit der Angaben.</w:t>
      </w:r>
    </w:p>
    <w:p w14:paraId="56FF7F66" w14:textId="77777777" w:rsidR="003000CE" w:rsidRPr="009648E1" w:rsidRDefault="003000CE" w:rsidP="00AF2BED">
      <w:pPr>
        <w:autoSpaceDE w:val="0"/>
        <w:autoSpaceDN w:val="0"/>
        <w:adjustRightInd w:val="0"/>
        <w:spacing w:before="480" w:after="480" w:line="240" w:lineRule="auto"/>
        <w:ind w:left="709" w:right="567" w:hanging="709"/>
        <w:rPr>
          <w:rFonts w:cs="Arial"/>
        </w:rPr>
      </w:pPr>
    </w:p>
    <w:bookmarkStart w:id="17" w:name="Text16"/>
    <w:p w14:paraId="22C748D1" w14:textId="77777777" w:rsidR="003000CE" w:rsidRPr="00880064" w:rsidRDefault="003000CE" w:rsidP="00E35A8B">
      <w:pPr>
        <w:tabs>
          <w:tab w:val="right" w:leader="underscore" w:pos="3402"/>
          <w:tab w:val="left" w:pos="4536"/>
          <w:tab w:val="right" w:leader="underscore" w:pos="9072"/>
        </w:tabs>
        <w:autoSpaceDE w:val="0"/>
        <w:autoSpaceDN w:val="0"/>
        <w:adjustRightInd w:val="0"/>
        <w:spacing w:after="0" w:line="240" w:lineRule="auto"/>
        <w:ind w:right="567"/>
        <w:rPr>
          <w:rFonts w:cs="Arial"/>
          <w:u w:val="single"/>
        </w:rPr>
      </w:pPr>
      <w:r w:rsidRPr="00880064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80064">
        <w:rPr>
          <w:rFonts w:cs="Arial"/>
          <w:u w:val="single"/>
        </w:rPr>
        <w:instrText xml:space="preserve"> FORMTEXT </w:instrText>
      </w:r>
      <w:r w:rsidR="00146C13" w:rsidRPr="003000CE">
        <w:rPr>
          <w:rFonts w:cs="Arial"/>
          <w:u w:val="single"/>
        </w:rPr>
      </w:r>
      <w:r w:rsidRPr="00880064">
        <w:rPr>
          <w:rFonts w:cs="Arial"/>
          <w:u w:val="single"/>
        </w:rPr>
        <w:fldChar w:fldCharType="separate"/>
      </w:r>
      <w:r w:rsidRPr="00880064">
        <w:rPr>
          <w:rFonts w:cs="Arial"/>
          <w:noProof/>
          <w:u w:val="single"/>
        </w:rPr>
        <w:t> </w:t>
      </w:r>
      <w:r w:rsidRPr="00880064">
        <w:rPr>
          <w:rFonts w:cs="Arial"/>
          <w:noProof/>
          <w:u w:val="single"/>
        </w:rPr>
        <w:t> </w:t>
      </w:r>
      <w:r w:rsidRPr="00880064">
        <w:rPr>
          <w:rFonts w:cs="Arial"/>
          <w:noProof/>
          <w:u w:val="single"/>
        </w:rPr>
        <w:t> </w:t>
      </w:r>
      <w:r w:rsidRPr="00880064">
        <w:rPr>
          <w:rFonts w:cs="Arial"/>
          <w:noProof/>
          <w:u w:val="single"/>
        </w:rPr>
        <w:t> </w:t>
      </w:r>
      <w:r w:rsidRPr="00880064">
        <w:rPr>
          <w:rFonts w:cs="Arial"/>
          <w:noProof/>
          <w:u w:val="single"/>
        </w:rPr>
        <w:t> </w:t>
      </w:r>
      <w:r w:rsidRPr="00880064">
        <w:rPr>
          <w:rFonts w:cs="Arial"/>
          <w:u w:val="single"/>
        </w:rPr>
        <w:fldChar w:fldCharType="end"/>
      </w:r>
      <w:bookmarkEnd w:id="17"/>
      <w:r w:rsidRPr="00880064">
        <w:rPr>
          <w:rFonts w:cs="Arial"/>
          <w:u w:val="single"/>
        </w:rPr>
        <w:tab/>
      </w:r>
      <w:r w:rsidRPr="00880064">
        <w:rPr>
          <w:rFonts w:cs="Arial"/>
          <w:u w:val="single"/>
        </w:rPr>
        <w:tab/>
      </w:r>
      <w:r w:rsidRPr="00880064">
        <w:rPr>
          <w:rFonts w:cs="Arial"/>
          <w:u w:val="single"/>
        </w:rPr>
        <w:tab/>
      </w:r>
    </w:p>
    <w:p w14:paraId="52414ED2" w14:textId="77777777" w:rsidR="003000CE" w:rsidRPr="009648E1" w:rsidRDefault="003000CE" w:rsidP="001A13C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67"/>
        <w:rPr>
          <w:rFonts w:cs="Arial"/>
        </w:rPr>
      </w:pPr>
      <w:r w:rsidRPr="009648E1">
        <w:rPr>
          <w:rFonts w:cs="Arial"/>
        </w:rPr>
        <w:t>Ort und Datum</w:t>
      </w:r>
      <w:r w:rsidRPr="009648E1">
        <w:rPr>
          <w:rFonts w:cs="Arial"/>
        </w:rPr>
        <w:tab/>
        <w:t>Rechtsverbindliche Unterschrift</w:t>
      </w:r>
      <w:r w:rsidRPr="009648E1">
        <w:rPr>
          <w:rFonts w:cs="Arial"/>
        </w:rPr>
        <w:br/>
      </w:r>
      <w:r w:rsidRPr="009648E1">
        <w:rPr>
          <w:rFonts w:cs="Arial"/>
        </w:rPr>
        <w:tab/>
        <w:t>Stempel</w:t>
      </w:r>
    </w:p>
    <w:sectPr w:rsidR="003000CE" w:rsidRPr="009648E1" w:rsidSect="00AF2BED">
      <w:head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8920" w14:textId="77777777" w:rsidR="002430DD" w:rsidRDefault="002430DD" w:rsidP="00B75079">
      <w:pPr>
        <w:spacing w:after="0" w:line="240" w:lineRule="auto"/>
      </w:pPr>
      <w:r>
        <w:separator/>
      </w:r>
    </w:p>
  </w:endnote>
  <w:endnote w:type="continuationSeparator" w:id="0">
    <w:p w14:paraId="2BA9B6C3" w14:textId="77777777" w:rsidR="002430DD" w:rsidRDefault="002430DD" w:rsidP="00B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783C" w14:textId="77777777" w:rsidR="002430DD" w:rsidRDefault="002430DD" w:rsidP="00B75079">
      <w:pPr>
        <w:spacing w:after="0" w:line="240" w:lineRule="auto"/>
      </w:pPr>
      <w:r>
        <w:separator/>
      </w:r>
    </w:p>
  </w:footnote>
  <w:footnote w:type="continuationSeparator" w:id="0">
    <w:p w14:paraId="48F738CC" w14:textId="77777777" w:rsidR="002430DD" w:rsidRDefault="002430DD" w:rsidP="00B75079">
      <w:pPr>
        <w:spacing w:after="0" w:line="240" w:lineRule="auto"/>
      </w:pPr>
      <w:r>
        <w:continuationSeparator/>
      </w:r>
    </w:p>
  </w:footnote>
  <w:footnote w:id="1">
    <w:p w14:paraId="1D6B335B" w14:textId="77777777" w:rsidR="003000CE" w:rsidRDefault="003000CE" w:rsidP="005F0788">
      <w:pPr>
        <w:autoSpaceDE w:val="0"/>
        <w:autoSpaceDN w:val="0"/>
        <w:adjustRightInd w:val="0"/>
        <w:spacing w:after="0" w:line="240" w:lineRule="auto"/>
        <w:ind w:left="357" w:hanging="357"/>
      </w:pPr>
      <w:r w:rsidRPr="005F0788">
        <w:rPr>
          <w:rStyle w:val="Funotenzeichen"/>
        </w:rPr>
        <w:footnoteRef/>
      </w:r>
      <w:r>
        <w:rPr>
          <w:rFonts w:cs="EUAlbertina-Bold"/>
          <w:bCs/>
        </w:rPr>
        <w:tab/>
        <w:t>Empfehlung der Kommission</w:t>
      </w:r>
      <w:r w:rsidRPr="005F0788">
        <w:rPr>
          <w:rFonts w:cs="EUAlbertina-Bold"/>
          <w:bCs/>
        </w:rPr>
        <w:t xml:space="preserve"> vom 6. Mai 2003 betreffend die Definition der Kleinstunternehmen sowie der kleinen und mittleren Unternehmen </w:t>
      </w:r>
      <w:r w:rsidRPr="005F0788">
        <w:rPr>
          <w:rFonts w:cs="EUAlbertina-Regu"/>
        </w:rPr>
        <w:t>(2003/361/EG)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E400" w14:textId="77777777" w:rsidR="003000CE" w:rsidRDefault="003000CE">
    <w:pPr>
      <w:pStyle w:val="Kopfzeile"/>
    </w:pPr>
  </w:p>
  <w:p w14:paraId="5914BFD2" w14:textId="77777777" w:rsidR="003000CE" w:rsidRDefault="003000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23C"/>
    <w:multiLevelType w:val="hybridMultilevel"/>
    <w:tmpl w:val="DC764E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80A4F"/>
    <w:multiLevelType w:val="hybridMultilevel"/>
    <w:tmpl w:val="4D0C2736"/>
    <w:lvl w:ilvl="0" w:tplc="0407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B111307"/>
    <w:multiLevelType w:val="hybridMultilevel"/>
    <w:tmpl w:val="36D60DEC"/>
    <w:lvl w:ilvl="0" w:tplc="A87C2DFC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147E62"/>
    <w:multiLevelType w:val="multilevel"/>
    <w:tmpl w:val="731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D64DA"/>
    <w:multiLevelType w:val="hybridMultilevel"/>
    <w:tmpl w:val="4DA62BF0"/>
    <w:lvl w:ilvl="0" w:tplc="8F8426C8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CB71124"/>
    <w:multiLevelType w:val="hybridMultilevel"/>
    <w:tmpl w:val="08C23C66"/>
    <w:lvl w:ilvl="0" w:tplc="5C7EB6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6D41"/>
    <w:multiLevelType w:val="hybridMultilevel"/>
    <w:tmpl w:val="94920BEC"/>
    <w:lvl w:ilvl="0" w:tplc="5934AC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7D8B"/>
    <w:multiLevelType w:val="hybridMultilevel"/>
    <w:tmpl w:val="6144D5F8"/>
    <w:lvl w:ilvl="0" w:tplc="0407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 w15:restartNumberingAfterBreak="0">
    <w:nsid w:val="56A66E36"/>
    <w:multiLevelType w:val="hybridMultilevel"/>
    <w:tmpl w:val="CE5AF0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3372D1"/>
    <w:multiLevelType w:val="multilevel"/>
    <w:tmpl w:val="3A9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65979"/>
    <w:multiLevelType w:val="hybridMultilevel"/>
    <w:tmpl w:val="0CCC55E4"/>
    <w:lvl w:ilvl="0" w:tplc="615438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035DB"/>
    <w:multiLevelType w:val="multilevel"/>
    <w:tmpl w:val="8A86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34C85"/>
    <w:multiLevelType w:val="hybridMultilevel"/>
    <w:tmpl w:val="62A482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8C40AF"/>
    <w:multiLevelType w:val="hybridMultilevel"/>
    <w:tmpl w:val="93C0CC64"/>
    <w:lvl w:ilvl="0" w:tplc="A87C2D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17"/>
    <w:rsid w:val="00012052"/>
    <w:rsid w:val="000442C6"/>
    <w:rsid w:val="00044712"/>
    <w:rsid w:val="000563A6"/>
    <w:rsid w:val="000B4AE6"/>
    <w:rsid w:val="000D4063"/>
    <w:rsid w:val="000E4E83"/>
    <w:rsid w:val="00103EDC"/>
    <w:rsid w:val="00116852"/>
    <w:rsid w:val="0013154D"/>
    <w:rsid w:val="00146C13"/>
    <w:rsid w:val="00147E7F"/>
    <w:rsid w:val="00156417"/>
    <w:rsid w:val="001800D1"/>
    <w:rsid w:val="001A13CF"/>
    <w:rsid w:val="001B7A64"/>
    <w:rsid w:val="001D2F7A"/>
    <w:rsid w:val="002153AD"/>
    <w:rsid w:val="002155DD"/>
    <w:rsid w:val="002430DD"/>
    <w:rsid w:val="00253C42"/>
    <w:rsid w:val="002629CA"/>
    <w:rsid w:val="0028468F"/>
    <w:rsid w:val="002B250A"/>
    <w:rsid w:val="002C35F0"/>
    <w:rsid w:val="002C445F"/>
    <w:rsid w:val="003000CE"/>
    <w:rsid w:val="00312F02"/>
    <w:rsid w:val="003728DE"/>
    <w:rsid w:val="00380514"/>
    <w:rsid w:val="00387EBE"/>
    <w:rsid w:val="00392645"/>
    <w:rsid w:val="00395A52"/>
    <w:rsid w:val="003B1A5F"/>
    <w:rsid w:val="003B5FBA"/>
    <w:rsid w:val="003D45C1"/>
    <w:rsid w:val="003E349B"/>
    <w:rsid w:val="003E6E1E"/>
    <w:rsid w:val="003F3F14"/>
    <w:rsid w:val="00417496"/>
    <w:rsid w:val="00425EE4"/>
    <w:rsid w:val="00427CFF"/>
    <w:rsid w:val="00486773"/>
    <w:rsid w:val="004A69AB"/>
    <w:rsid w:val="004D278F"/>
    <w:rsid w:val="004F56A6"/>
    <w:rsid w:val="00501F7F"/>
    <w:rsid w:val="0052196B"/>
    <w:rsid w:val="00554B05"/>
    <w:rsid w:val="00557A74"/>
    <w:rsid w:val="00560FF9"/>
    <w:rsid w:val="005A603E"/>
    <w:rsid w:val="005F0788"/>
    <w:rsid w:val="00614110"/>
    <w:rsid w:val="00625870"/>
    <w:rsid w:val="00676B6A"/>
    <w:rsid w:val="00687A24"/>
    <w:rsid w:val="006A07D2"/>
    <w:rsid w:val="006A4487"/>
    <w:rsid w:val="006B7374"/>
    <w:rsid w:val="00702C54"/>
    <w:rsid w:val="00730258"/>
    <w:rsid w:val="007345EE"/>
    <w:rsid w:val="00796377"/>
    <w:rsid w:val="007C3404"/>
    <w:rsid w:val="008037E6"/>
    <w:rsid w:val="00811548"/>
    <w:rsid w:val="008173F2"/>
    <w:rsid w:val="00861BEB"/>
    <w:rsid w:val="00864F72"/>
    <w:rsid w:val="00870D51"/>
    <w:rsid w:val="008732A3"/>
    <w:rsid w:val="00880064"/>
    <w:rsid w:val="008A5CCE"/>
    <w:rsid w:val="008A6F3B"/>
    <w:rsid w:val="008D2CD7"/>
    <w:rsid w:val="008F65E8"/>
    <w:rsid w:val="00923626"/>
    <w:rsid w:val="00934DEA"/>
    <w:rsid w:val="009563A2"/>
    <w:rsid w:val="009648E1"/>
    <w:rsid w:val="009A60A0"/>
    <w:rsid w:val="009B2752"/>
    <w:rsid w:val="00A00AE4"/>
    <w:rsid w:val="00A24A25"/>
    <w:rsid w:val="00A3414C"/>
    <w:rsid w:val="00A47C5D"/>
    <w:rsid w:val="00A53C75"/>
    <w:rsid w:val="00AF2BED"/>
    <w:rsid w:val="00AF574D"/>
    <w:rsid w:val="00B11AD5"/>
    <w:rsid w:val="00B21641"/>
    <w:rsid w:val="00B416A1"/>
    <w:rsid w:val="00B71C6A"/>
    <w:rsid w:val="00B75079"/>
    <w:rsid w:val="00BA1728"/>
    <w:rsid w:val="00C12D0A"/>
    <w:rsid w:val="00C709BB"/>
    <w:rsid w:val="00C820D2"/>
    <w:rsid w:val="00CB19A4"/>
    <w:rsid w:val="00CE034B"/>
    <w:rsid w:val="00CF561A"/>
    <w:rsid w:val="00D008E7"/>
    <w:rsid w:val="00D36FA4"/>
    <w:rsid w:val="00D425DB"/>
    <w:rsid w:val="00D7619C"/>
    <w:rsid w:val="00D973DB"/>
    <w:rsid w:val="00DA5F38"/>
    <w:rsid w:val="00DF3754"/>
    <w:rsid w:val="00E20EB0"/>
    <w:rsid w:val="00E35A8B"/>
    <w:rsid w:val="00E465B1"/>
    <w:rsid w:val="00E567DF"/>
    <w:rsid w:val="00E849A7"/>
    <w:rsid w:val="00EA547D"/>
    <w:rsid w:val="00EC25E1"/>
    <w:rsid w:val="00F26996"/>
    <w:rsid w:val="00F53E26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41A37"/>
  <w15:chartTrackingRefBased/>
  <w15:docId w15:val="{B09B66F4-F81B-43B7-AB04-1D8AFBE6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6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istParagraph">
    <w:name w:val="List Paragraph"/>
    <w:basedOn w:val="Standard"/>
    <w:rsid w:val="00C709BB"/>
    <w:pPr>
      <w:ind w:left="720"/>
      <w:contextualSpacing/>
    </w:pPr>
  </w:style>
  <w:style w:type="character" w:styleId="Hyperlink">
    <w:name w:val="Hyperlink"/>
    <w:basedOn w:val="Absatz-Standardschriftart"/>
    <w:semiHidden/>
    <w:rsid w:val="002153AD"/>
    <w:rPr>
      <w:rFonts w:cs="Times New Roman"/>
      <w:color w:val="0000FF"/>
      <w:u w:val="single"/>
    </w:rPr>
  </w:style>
  <w:style w:type="paragraph" w:styleId="StandardWeb">
    <w:name w:val="Normal (Web)"/>
    <w:basedOn w:val="Standard"/>
    <w:semiHidden/>
    <w:rsid w:val="008D2CD7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B7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locked/>
    <w:rsid w:val="00B75079"/>
    <w:rPr>
      <w:rFonts w:cs="Times New Roman"/>
    </w:rPr>
  </w:style>
  <w:style w:type="paragraph" w:styleId="Fuzeile">
    <w:name w:val="footer"/>
    <w:basedOn w:val="Standard"/>
    <w:link w:val="FuzeileZchn"/>
    <w:semiHidden/>
    <w:rsid w:val="00B7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semiHidden/>
    <w:locked/>
    <w:rsid w:val="00B75079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A53C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A53C75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A53C75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semiHidden/>
    <w:rsid w:val="0001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01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2913</Characters>
  <DocSecurity>0</DocSecurity>
  <Lines>145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Darstellung des Anreizeffektes für Großunternehmen</vt:lpstr>
    </vt:vector>
  </TitlesOfParts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2011-10-07T14:12:00Z</cp:lastPrinted>
  <dcterms:created xsi:type="dcterms:W3CDTF">2022-02-15T03:56:00Z</dcterms:created>
  <dcterms:modified xsi:type="dcterms:W3CDTF">2022-02-15T03:56:00Z</dcterms:modified>
</cp:coreProperties>
</file>